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9378"/>
      </w:tblGrid>
      <w:tr w:rsidR="00AA34D4" w:rsidRPr="00FB2E23" w:rsidTr="00FB2E23">
        <w:trPr>
          <w:trHeight w:val="530"/>
          <w:tblHeader/>
        </w:trPr>
        <w:tc>
          <w:tcPr>
            <w:tcW w:w="1638" w:type="dxa"/>
            <w:shd w:val="clear" w:color="auto" w:fill="BFBFBF"/>
            <w:vAlign w:val="center"/>
          </w:tcPr>
          <w:p w:rsidR="00AA34D4" w:rsidRPr="00FB2E23" w:rsidRDefault="00AA34D4" w:rsidP="004066C0">
            <w:pPr>
              <w:pStyle w:val="NoSpacing"/>
            </w:pPr>
            <w:r w:rsidRPr="00FB2E23">
              <w:rPr>
                <w:rFonts w:ascii="Cambria" w:hAnsi="Cambria"/>
                <w:b/>
              </w:rPr>
              <w:t>Term</w:t>
            </w:r>
          </w:p>
        </w:tc>
        <w:tc>
          <w:tcPr>
            <w:tcW w:w="9378" w:type="dxa"/>
            <w:shd w:val="clear" w:color="auto" w:fill="BFBFBF"/>
            <w:vAlign w:val="center"/>
          </w:tcPr>
          <w:p w:rsidR="00AA34D4" w:rsidRPr="00FB2E23" w:rsidRDefault="00AA34D4" w:rsidP="00596870">
            <w:pPr>
              <w:rPr>
                <w:rFonts w:ascii="Cambria" w:hAnsi="Cambria"/>
                <w:b/>
              </w:rPr>
            </w:pPr>
            <w:r>
              <w:rPr>
                <w:rFonts w:ascii="Cambria" w:hAnsi="Cambria"/>
                <w:b/>
              </w:rPr>
              <w:t xml:space="preserve">                                                                      D</w:t>
            </w:r>
            <w:r w:rsidRPr="00FB2E23">
              <w:rPr>
                <w:rFonts w:ascii="Cambria" w:hAnsi="Cambria"/>
                <w:b/>
              </w:rPr>
              <w:t>efinitions</w:t>
            </w:r>
          </w:p>
        </w:tc>
      </w:tr>
      <w:tr w:rsidR="00AA34D4" w:rsidRPr="00FB2E23" w:rsidTr="00FB2E23">
        <w:trPr>
          <w:trHeight w:val="90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Community</w:t>
            </w:r>
          </w:p>
        </w:tc>
        <w:tc>
          <w:tcPr>
            <w:tcW w:w="9378" w:type="dxa"/>
          </w:tcPr>
          <w:p w:rsidR="00AA34D4" w:rsidRPr="00FB2E23" w:rsidRDefault="00AA34D4" w:rsidP="00FB2E23">
            <w:pPr>
              <w:ind w:left="180" w:firstLine="0"/>
              <w:rPr>
                <w:rFonts w:ascii="Cambria" w:hAnsi="Cambria"/>
              </w:rPr>
            </w:pPr>
            <w:r w:rsidRPr="00FB2E23">
              <w:rPr>
                <w:rFonts w:ascii="Cambria" w:hAnsi="Cambria"/>
              </w:rPr>
              <w:t>A group of people external to the campus who are affiliated by geographic proximity, special interest, similar situation or shared values. Communities may share characteristics such as age, ethnicity, gender, or sexual orientation.</w:t>
            </w:r>
            <w:r w:rsidRPr="008A0299">
              <w:rPr>
                <w:rFonts w:ascii="Cambria" w:hAnsi="Cambria"/>
                <w:vertAlign w:val="superscript"/>
              </w:rPr>
              <w:t>2</w:t>
            </w:r>
          </w:p>
          <w:p w:rsidR="00AA34D4" w:rsidRPr="00FB2E23" w:rsidRDefault="00AA34D4" w:rsidP="00FB2E23">
            <w:pPr>
              <w:ind w:left="180" w:firstLine="0"/>
              <w:rPr>
                <w:rFonts w:ascii="Cambria" w:hAnsi="Cambria"/>
              </w:rPr>
            </w:pPr>
          </w:p>
        </w:tc>
      </w:tr>
      <w:tr w:rsidR="00AA34D4" w:rsidRPr="00FB2E23" w:rsidTr="00FB2E23">
        <w:trPr>
          <w:trHeight w:val="90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Partnership</w:t>
            </w:r>
          </w:p>
        </w:tc>
        <w:tc>
          <w:tcPr>
            <w:tcW w:w="9378" w:type="dxa"/>
          </w:tcPr>
          <w:p w:rsidR="00AA34D4" w:rsidRPr="00FB2E23" w:rsidRDefault="00AA34D4" w:rsidP="00FB2E23">
            <w:pPr>
              <w:ind w:left="180" w:firstLine="0"/>
              <w:rPr>
                <w:rFonts w:ascii="Cambria" w:hAnsi="Cambria"/>
              </w:rPr>
            </w:pPr>
            <w:r w:rsidRPr="00FB2E23">
              <w:rPr>
                <w:rFonts w:ascii="Cambria" w:hAnsi="Cambria"/>
              </w:rPr>
              <w:t>Sustained collaboration between institutions of higher education and communities for the mutually beneficial exchange, exploration, and application of knowledge, information, and resources. Examples are research, capacity building, or economic development.</w:t>
            </w:r>
            <w:r w:rsidRPr="00FB2E23">
              <w:rPr>
                <w:vertAlign w:val="superscript"/>
              </w:rPr>
              <w:t xml:space="preserve"> </w:t>
            </w:r>
            <w:r w:rsidRPr="008A0299">
              <w:rPr>
                <w:rFonts w:ascii="Cambria" w:hAnsi="Cambria"/>
                <w:vertAlign w:val="superscript"/>
              </w:rPr>
              <w:t>1</w:t>
            </w:r>
          </w:p>
          <w:p w:rsidR="00AA34D4" w:rsidRPr="00FB2E23" w:rsidRDefault="00AA34D4" w:rsidP="00FB2E23">
            <w:pPr>
              <w:ind w:left="0" w:firstLine="0"/>
              <w:rPr>
                <w:rFonts w:ascii="Cambria" w:hAnsi="Cambria"/>
              </w:rPr>
            </w:pPr>
            <w:r w:rsidRPr="00FB2E23">
              <w:rPr>
                <w:rFonts w:ascii="Cambria" w:hAnsi="Cambria"/>
              </w:rPr>
              <w:t xml:space="preserve"> </w:t>
            </w:r>
          </w:p>
        </w:tc>
      </w:tr>
      <w:tr w:rsidR="00AA34D4" w:rsidRPr="00FB2E23" w:rsidTr="00FB2E23">
        <w:trPr>
          <w:trHeight w:val="60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Community Outreach</w:t>
            </w:r>
          </w:p>
        </w:tc>
        <w:tc>
          <w:tcPr>
            <w:tcW w:w="9378" w:type="dxa"/>
          </w:tcPr>
          <w:p w:rsidR="00AA34D4" w:rsidRPr="00FB2E23" w:rsidRDefault="00AA34D4" w:rsidP="00FB2E23">
            <w:pPr>
              <w:ind w:left="180" w:firstLine="0"/>
              <w:rPr>
                <w:rFonts w:ascii="Cambria" w:hAnsi="Cambria"/>
              </w:rPr>
            </w:pPr>
            <w:r w:rsidRPr="00FB2E23">
              <w:rPr>
                <w:rFonts w:ascii="Cambria" w:hAnsi="Cambria"/>
              </w:rPr>
              <w:t>The application and provision of institutional resources, knowledge or services that directly benefits the community. Examples include music concerts, athletic events, student volunteers, public lectures, or health fairs.</w:t>
            </w:r>
            <w:r w:rsidRPr="00FB2E23">
              <w:rPr>
                <w:vertAlign w:val="superscript"/>
              </w:rPr>
              <w:t xml:space="preserve"> </w:t>
            </w:r>
            <w:r w:rsidRPr="008A0299">
              <w:rPr>
                <w:rFonts w:ascii="Cambria" w:hAnsi="Cambria"/>
                <w:vertAlign w:val="superscript"/>
              </w:rPr>
              <w:t>1</w:t>
            </w:r>
            <w:r w:rsidRPr="008A0299">
              <w:rPr>
                <w:rFonts w:ascii="Cambria" w:hAnsi="Cambria"/>
              </w:rPr>
              <w:t xml:space="preserve">   </w:t>
            </w:r>
            <w:r w:rsidRPr="00FB2E23">
              <w:rPr>
                <w:rFonts w:ascii="Cambria" w:hAnsi="Cambria"/>
              </w:rPr>
              <w:t xml:space="preserve"> </w:t>
            </w:r>
          </w:p>
          <w:p w:rsidR="00AA34D4" w:rsidRPr="00FB2E23" w:rsidRDefault="00AA34D4" w:rsidP="00FB2E23">
            <w:pPr>
              <w:ind w:left="0" w:firstLine="0"/>
              <w:rPr>
                <w:rFonts w:ascii="Cambria" w:hAnsi="Cambria"/>
              </w:rPr>
            </w:pPr>
          </w:p>
        </w:tc>
      </w:tr>
      <w:tr w:rsidR="00AA34D4" w:rsidRPr="00FB2E23" w:rsidTr="00FB2E23">
        <w:trPr>
          <w:trHeight w:val="161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Community Engagement</w:t>
            </w:r>
          </w:p>
        </w:tc>
        <w:tc>
          <w:tcPr>
            <w:tcW w:w="9378" w:type="dxa"/>
          </w:tcPr>
          <w:p w:rsidR="00AA34D4" w:rsidRPr="00FB2E23" w:rsidRDefault="00AA34D4" w:rsidP="00FB2E23">
            <w:pPr>
              <w:ind w:left="180" w:firstLine="0"/>
              <w:rPr>
                <w:rFonts w:ascii="Cambria" w:hAnsi="Cambria"/>
              </w:rPr>
            </w:pPr>
            <w:r w:rsidRPr="00FB2E23">
              <w:rPr>
                <w:rFonts w:ascii="Cambria" w:hAnsi="Cambria"/>
              </w:rPr>
              <w:t xml:space="preserve"> 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w:t>
            </w:r>
            <w:r w:rsidRPr="00FB2E23">
              <w:rPr>
                <w:vertAlign w:val="superscript"/>
              </w:rPr>
              <w:t xml:space="preserve"> </w:t>
            </w:r>
            <w:r w:rsidRPr="008A0299">
              <w:rPr>
                <w:rFonts w:ascii="Cambria" w:hAnsi="Cambria"/>
                <w:vertAlign w:val="superscript"/>
              </w:rPr>
              <w:t>1</w:t>
            </w:r>
          </w:p>
        </w:tc>
      </w:tr>
      <w:tr w:rsidR="00AA34D4" w:rsidRPr="00FB2E23" w:rsidTr="00FB2E23">
        <w:trPr>
          <w:trHeight w:val="120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Community-Engaged Scholarship</w:t>
            </w:r>
          </w:p>
        </w:tc>
        <w:tc>
          <w:tcPr>
            <w:tcW w:w="9378" w:type="dxa"/>
          </w:tcPr>
          <w:p w:rsidR="00AA34D4" w:rsidRPr="00FB2E23" w:rsidRDefault="00AA34D4" w:rsidP="00FB2E23">
            <w:pPr>
              <w:ind w:left="180" w:firstLine="0"/>
              <w:rPr>
                <w:rFonts w:ascii="Cambria" w:hAnsi="Cambria"/>
              </w:rPr>
            </w:pPr>
            <w:r w:rsidRPr="00FB2E23">
              <w:rPr>
                <w:rFonts w:ascii="Cambria" w:hAnsi="Cambria"/>
              </w:rPr>
              <w:t>The creation and dissemination of knowledge and creative expression in furtherance of the mission and goals of the university and in collaboration with the community. Community-engaged scholarship (CES) addresses community needs through research, teaching and service in a mutually beneficial partnership. The quality and impact of CES are determined by academic peers and community partners.</w:t>
            </w:r>
            <w:r w:rsidRPr="00FB2E23">
              <w:rPr>
                <w:vertAlign w:val="superscript"/>
              </w:rPr>
              <w:t xml:space="preserve"> </w:t>
            </w:r>
            <w:r w:rsidRPr="008A0299">
              <w:rPr>
                <w:rFonts w:ascii="Cambria" w:hAnsi="Cambria"/>
                <w:vertAlign w:val="superscript"/>
              </w:rPr>
              <w:t>3, 4</w:t>
            </w:r>
          </w:p>
          <w:p w:rsidR="00AA34D4" w:rsidRPr="00FB2E23" w:rsidRDefault="00AA34D4" w:rsidP="00FB2E23">
            <w:pPr>
              <w:ind w:left="0" w:firstLine="0"/>
              <w:rPr>
                <w:rFonts w:ascii="Cambria" w:hAnsi="Cambria"/>
              </w:rPr>
            </w:pPr>
          </w:p>
        </w:tc>
      </w:tr>
      <w:tr w:rsidR="00AA34D4" w:rsidRPr="00FB2E23" w:rsidTr="00FB2E23">
        <w:trPr>
          <w:trHeight w:val="1088"/>
        </w:trPr>
        <w:tc>
          <w:tcPr>
            <w:tcW w:w="1638" w:type="dxa"/>
          </w:tcPr>
          <w:p w:rsidR="00AA34D4" w:rsidRPr="00FB2E23" w:rsidRDefault="00AA34D4" w:rsidP="00FB2E23">
            <w:pPr>
              <w:ind w:left="90" w:firstLine="0"/>
              <w:jc w:val="center"/>
              <w:rPr>
                <w:rFonts w:ascii="Times New Roman" w:hAnsi="Times New Roman"/>
                <w:sz w:val="24"/>
                <w:szCs w:val="24"/>
              </w:rPr>
            </w:pPr>
            <w:r w:rsidRPr="00FB2E23">
              <w:rPr>
                <w:rFonts w:ascii="Cambria" w:hAnsi="Cambria"/>
                <w:b/>
              </w:rPr>
              <w:t>Community-Engaged Service</w:t>
            </w:r>
          </w:p>
        </w:tc>
        <w:tc>
          <w:tcPr>
            <w:tcW w:w="9378" w:type="dxa"/>
          </w:tcPr>
          <w:p w:rsidR="00AA34D4" w:rsidRPr="00FB2E23" w:rsidRDefault="00AA34D4" w:rsidP="00FB2E23">
            <w:pPr>
              <w:ind w:left="180" w:firstLine="0"/>
              <w:rPr>
                <w:rFonts w:ascii="Cambria" w:hAnsi="Cambria"/>
              </w:rPr>
            </w:pPr>
            <w:r w:rsidRPr="00FB2E23">
              <w:rPr>
                <w:rFonts w:ascii="Cambria" w:hAnsi="Cambria"/>
              </w:rPr>
              <w:t>The application of one's professional expertise that addresses a community-identified need and supports the goals and mission of the university and the community. Community-engaged service may entail the delivery of expertise, resources and services to the community.</w:t>
            </w:r>
            <w:r w:rsidRPr="00FB2E23">
              <w:rPr>
                <w:vertAlign w:val="superscript"/>
              </w:rPr>
              <w:t xml:space="preserve"> </w:t>
            </w:r>
            <w:r w:rsidRPr="008A0299">
              <w:rPr>
                <w:rFonts w:ascii="Cambria" w:hAnsi="Cambria"/>
                <w:vertAlign w:val="superscript"/>
              </w:rPr>
              <w:t>1, 6</w:t>
            </w:r>
            <w:r w:rsidRPr="00FB2E23">
              <w:rPr>
                <w:rFonts w:ascii="Cambria" w:hAnsi="Cambria"/>
              </w:rPr>
              <w:t xml:space="preserve">  </w:t>
            </w:r>
          </w:p>
          <w:p w:rsidR="00AA34D4" w:rsidRPr="00FB2E23" w:rsidRDefault="00AA34D4" w:rsidP="00FB2E23">
            <w:pPr>
              <w:ind w:left="0" w:firstLine="0"/>
              <w:rPr>
                <w:rFonts w:ascii="Cambria" w:hAnsi="Cambria"/>
              </w:rPr>
            </w:pPr>
          </w:p>
        </w:tc>
      </w:tr>
      <w:tr w:rsidR="00AA34D4" w:rsidRPr="00FB2E23" w:rsidTr="00FB2E23">
        <w:trPr>
          <w:trHeight w:val="120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Community-Engaged Teaching/</w:t>
            </w:r>
          </w:p>
          <w:p w:rsidR="00AA34D4" w:rsidRPr="00FB2E23" w:rsidRDefault="00AA34D4" w:rsidP="00FB2E23">
            <w:pPr>
              <w:ind w:left="90" w:firstLine="0"/>
              <w:jc w:val="center"/>
              <w:rPr>
                <w:rFonts w:ascii="Cambria" w:hAnsi="Cambria"/>
                <w:b/>
              </w:rPr>
            </w:pPr>
            <w:r w:rsidRPr="00FB2E23">
              <w:rPr>
                <w:rFonts w:ascii="Cambria" w:hAnsi="Cambria"/>
                <w:b/>
              </w:rPr>
              <w:t>Learning</w:t>
            </w:r>
          </w:p>
        </w:tc>
        <w:tc>
          <w:tcPr>
            <w:tcW w:w="9378" w:type="dxa"/>
          </w:tcPr>
          <w:p w:rsidR="00AA34D4" w:rsidRPr="00FB2E23" w:rsidRDefault="00AA34D4" w:rsidP="00FB2E23">
            <w:pPr>
              <w:ind w:left="180" w:firstLine="0"/>
              <w:rPr>
                <w:rFonts w:ascii="Cambria" w:hAnsi="Cambria"/>
              </w:rPr>
            </w:pPr>
            <w:r w:rsidRPr="00FB2E23">
              <w:rPr>
                <w:rFonts w:ascii="Cambria" w:hAnsi="Cambria"/>
              </w:rPr>
              <w:t xml:space="preserve">A pedagogical approach that connects students and faculty with activities that address </w:t>
            </w:r>
          </w:p>
          <w:p w:rsidR="00AA34D4" w:rsidRPr="00FB2E23" w:rsidRDefault="00AA34D4" w:rsidP="00FB2E23">
            <w:pPr>
              <w:ind w:left="180" w:firstLine="0"/>
              <w:rPr>
                <w:rFonts w:ascii="Cambria" w:hAnsi="Cambria"/>
              </w:rPr>
            </w:pPr>
            <w:r w:rsidRPr="00FB2E23">
              <w:rPr>
                <w:rFonts w:ascii="Cambria" w:hAnsi="Cambria"/>
              </w:rPr>
              <w:t>community-identified needs through mutually beneficial partnerships that deepen students'</w:t>
            </w:r>
          </w:p>
          <w:p w:rsidR="00AA34D4" w:rsidRPr="00FB2E23" w:rsidRDefault="00AA34D4" w:rsidP="00FB2E23">
            <w:pPr>
              <w:ind w:left="180" w:firstLine="0"/>
              <w:rPr>
                <w:rFonts w:ascii="Cambria" w:hAnsi="Cambria"/>
              </w:rPr>
            </w:pPr>
            <w:r w:rsidRPr="00FB2E23">
              <w:rPr>
                <w:rFonts w:ascii="Cambria" w:hAnsi="Cambria"/>
              </w:rPr>
              <w:t xml:space="preserve"> </w:t>
            </w:r>
            <w:proofErr w:type="gramStart"/>
            <w:r w:rsidRPr="00FB2E23">
              <w:rPr>
                <w:rFonts w:ascii="Cambria" w:hAnsi="Cambria"/>
              </w:rPr>
              <w:t>academic</w:t>
            </w:r>
            <w:proofErr w:type="gramEnd"/>
            <w:r w:rsidRPr="00FB2E23">
              <w:rPr>
                <w:rFonts w:ascii="Cambria" w:hAnsi="Cambria"/>
              </w:rPr>
              <w:t xml:space="preserve"> and civic learning. Examples are service-learning courses or service-learning clinical pratica.</w:t>
            </w:r>
            <w:r w:rsidRPr="008A0299">
              <w:rPr>
                <w:rFonts w:ascii="Cambria" w:hAnsi="Cambria"/>
                <w:vertAlign w:val="superscript"/>
              </w:rPr>
              <w:t xml:space="preserve"> 1, 7</w:t>
            </w:r>
          </w:p>
          <w:p w:rsidR="00AA34D4" w:rsidRPr="00FB2E23" w:rsidRDefault="00AA34D4" w:rsidP="00FB2E23">
            <w:pPr>
              <w:ind w:left="0" w:firstLine="0"/>
              <w:rPr>
                <w:rFonts w:ascii="Cambria" w:hAnsi="Cambria"/>
              </w:rPr>
            </w:pPr>
          </w:p>
        </w:tc>
      </w:tr>
      <w:tr w:rsidR="00AA34D4" w:rsidRPr="00FB2E23" w:rsidTr="00FB2E23">
        <w:trPr>
          <w:trHeight w:val="1200"/>
        </w:trPr>
        <w:tc>
          <w:tcPr>
            <w:tcW w:w="1638" w:type="dxa"/>
          </w:tcPr>
          <w:p w:rsidR="00AA34D4" w:rsidRPr="00FB2E23" w:rsidRDefault="00AA34D4" w:rsidP="00FB2E23">
            <w:pPr>
              <w:ind w:left="90" w:firstLine="0"/>
              <w:jc w:val="center"/>
              <w:rPr>
                <w:rFonts w:ascii="Cambria" w:hAnsi="Cambria"/>
                <w:b/>
              </w:rPr>
            </w:pPr>
            <w:r w:rsidRPr="00FB2E23">
              <w:rPr>
                <w:rFonts w:ascii="Cambria" w:hAnsi="Cambria"/>
                <w:b/>
              </w:rPr>
              <w:t>Community-Engaged Research</w:t>
            </w:r>
          </w:p>
        </w:tc>
        <w:tc>
          <w:tcPr>
            <w:tcW w:w="9378" w:type="dxa"/>
          </w:tcPr>
          <w:p w:rsidR="00AA34D4" w:rsidRPr="00FB2E23" w:rsidRDefault="00AA34D4" w:rsidP="00FB2E23">
            <w:pPr>
              <w:ind w:left="180" w:firstLine="0"/>
              <w:rPr>
                <w:rFonts w:ascii="Cambria" w:hAnsi="Cambria"/>
              </w:rPr>
            </w:pPr>
            <w:r w:rsidRPr="00FB2E23">
              <w:rPr>
                <w:rFonts w:ascii="Cambria" w:hAnsi="Cambria"/>
              </w:rPr>
              <w:t>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w:t>
            </w:r>
            <w:r w:rsidRPr="00FB2E23">
              <w:rPr>
                <w:vertAlign w:val="superscript"/>
              </w:rPr>
              <w:t xml:space="preserve"> </w:t>
            </w:r>
            <w:r w:rsidRPr="008A0299">
              <w:rPr>
                <w:rFonts w:ascii="Cambria" w:hAnsi="Cambria"/>
                <w:vertAlign w:val="superscript"/>
              </w:rPr>
              <w:t>5, 8, 9</w:t>
            </w:r>
          </w:p>
          <w:p w:rsidR="00AA34D4" w:rsidRPr="00FB2E23" w:rsidRDefault="00AA34D4" w:rsidP="00FB2E23">
            <w:pPr>
              <w:ind w:left="0" w:firstLine="0"/>
              <w:rPr>
                <w:rFonts w:ascii="Cambria" w:hAnsi="Cambria"/>
              </w:rPr>
            </w:pPr>
          </w:p>
        </w:tc>
      </w:tr>
    </w:tbl>
    <w:p w:rsidR="00AA34D4" w:rsidRDefault="00AA34D4" w:rsidP="00C51B15">
      <w:pPr>
        <w:ind w:left="0" w:firstLine="0"/>
      </w:pPr>
    </w:p>
    <w:p w:rsidR="00AA34D4" w:rsidRDefault="00AA34D4" w:rsidP="00A2695E">
      <w:pPr>
        <w:ind w:left="0" w:firstLine="0"/>
        <w:jc w:val="center"/>
      </w:pPr>
    </w:p>
    <w:p w:rsidR="00AA34D4" w:rsidRDefault="00AA34D4" w:rsidP="00A2695E">
      <w:pPr>
        <w:ind w:left="0" w:firstLine="0"/>
        <w:jc w:val="center"/>
      </w:pPr>
    </w:p>
    <w:p w:rsidR="00AA34D4" w:rsidRDefault="00AA34D4" w:rsidP="00A2695E">
      <w:pPr>
        <w:ind w:left="0" w:firstLine="0"/>
        <w:jc w:val="center"/>
      </w:pPr>
    </w:p>
    <w:p w:rsidR="00AA34D4" w:rsidRDefault="00AA34D4" w:rsidP="00A2695E">
      <w:pPr>
        <w:ind w:left="0" w:firstLine="0"/>
        <w:jc w:val="center"/>
      </w:pPr>
    </w:p>
    <w:p w:rsidR="00AA34D4" w:rsidRDefault="00AA34D4" w:rsidP="00A2695E">
      <w:pPr>
        <w:ind w:left="0" w:firstLine="0"/>
        <w:jc w:val="center"/>
      </w:pPr>
    </w:p>
    <w:p w:rsidR="00AA34D4" w:rsidRDefault="00AA34D4" w:rsidP="00A2695E">
      <w:pPr>
        <w:ind w:left="0" w:firstLine="0"/>
        <w:jc w:val="center"/>
      </w:pPr>
    </w:p>
    <w:p w:rsidR="00AA34D4" w:rsidRDefault="00AA34D4" w:rsidP="00A2695E">
      <w:pPr>
        <w:ind w:left="0" w:firstLine="0"/>
        <w:jc w:val="center"/>
      </w:pPr>
    </w:p>
    <w:p w:rsidR="00AA34D4" w:rsidRDefault="00AA34D4" w:rsidP="00A2695E">
      <w:pPr>
        <w:ind w:left="0" w:firstLine="0"/>
        <w:jc w:val="center"/>
      </w:pPr>
    </w:p>
    <w:p w:rsidR="00AA34D4" w:rsidRPr="00734271" w:rsidRDefault="00AA34D4" w:rsidP="00A2695E">
      <w:pPr>
        <w:ind w:left="0" w:firstLine="0"/>
        <w:jc w:val="center"/>
        <w:rPr>
          <w:rFonts w:ascii="Cambria" w:hAnsi="Cambria"/>
          <w:b/>
        </w:rPr>
      </w:pPr>
      <w:r w:rsidRPr="00734271">
        <w:rPr>
          <w:rFonts w:ascii="Cambria" w:hAnsi="Cambria"/>
          <w:b/>
        </w:rPr>
        <w:lastRenderedPageBreak/>
        <w:t>References</w:t>
      </w:r>
    </w:p>
    <w:p w:rsidR="00AA34D4" w:rsidRDefault="00AA34D4" w:rsidP="00C51B15">
      <w:pPr>
        <w:ind w:left="0" w:firstLine="0"/>
      </w:pPr>
      <w:bookmarkStart w:id="0" w:name="_GoBack"/>
      <w:bookmarkEnd w:id="0"/>
    </w:p>
    <w:p w:rsidR="00AA34D4" w:rsidRPr="00432410" w:rsidRDefault="00AA34D4" w:rsidP="007A5D28">
      <w:pPr>
        <w:ind w:hanging="720"/>
        <w:rPr>
          <w:rFonts w:ascii="Cambria" w:hAnsi="Cambria"/>
        </w:rPr>
      </w:pPr>
      <w:proofErr w:type="gramStart"/>
      <w:r w:rsidRPr="008A0299">
        <w:rPr>
          <w:rFonts w:ascii="Cambria" w:hAnsi="Cambria"/>
          <w:vertAlign w:val="superscript"/>
        </w:rPr>
        <w:t>1</w:t>
      </w:r>
      <w:r w:rsidRPr="00432410">
        <w:rPr>
          <w:rFonts w:ascii="Cambria" w:hAnsi="Cambria"/>
        </w:rPr>
        <w:t>Carnegie Foundation for the Advancement of Teaching.</w:t>
      </w:r>
      <w:proofErr w:type="gramEnd"/>
      <w:r w:rsidRPr="00432410">
        <w:rPr>
          <w:rFonts w:ascii="Cambria" w:hAnsi="Cambria"/>
        </w:rPr>
        <w:t xml:space="preserve"> </w:t>
      </w:r>
      <w:r w:rsidRPr="00432410">
        <w:rPr>
          <w:rFonts w:ascii="Cambria" w:hAnsi="Cambria"/>
          <w:lang w:val="fr-FR"/>
        </w:rPr>
        <w:t xml:space="preserve">(2011). </w:t>
      </w:r>
      <w:r w:rsidRPr="00432410">
        <w:rPr>
          <w:rFonts w:ascii="Cambria" w:hAnsi="Cambria"/>
          <w:i/>
          <w:lang w:val="fr-FR"/>
        </w:rPr>
        <w:t xml:space="preserve">Classification description: </w:t>
      </w:r>
      <w:proofErr w:type="spellStart"/>
      <w:r w:rsidRPr="00432410">
        <w:rPr>
          <w:rFonts w:ascii="Cambria" w:hAnsi="Cambria"/>
          <w:i/>
          <w:lang w:val="fr-FR"/>
        </w:rPr>
        <w:t>Community</w:t>
      </w:r>
      <w:proofErr w:type="spellEnd"/>
      <w:r w:rsidRPr="00432410">
        <w:rPr>
          <w:rFonts w:ascii="Cambria" w:hAnsi="Cambria"/>
          <w:i/>
          <w:lang w:val="fr-FR"/>
        </w:rPr>
        <w:t xml:space="preserve"> engagement </w:t>
      </w:r>
      <w:proofErr w:type="spellStart"/>
      <w:r w:rsidRPr="00432410">
        <w:rPr>
          <w:rFonts w:ascii="Cambria" w:hAnsi="Cambria"/>
          <w:i/>
          <w:lang w:val="fr-FR"/>
        </w:rPr>
        <w:t>elective</w:t>
      </w:r>
      <w:proofErr w:type="spellEnd"/>
      <w:r w:rsidRPr="00432410">
        <w:rPr>
          <w:rFonts w:ascii="Cambria" w:hAnsi="Cambria"/>
          <w:i/>
          <w:lang w:val="fr-FR"/>
        </w:rPr>
        <w:t xml:space="preserve"> classification</w:t>
      </w:r>
      <w:r w:rsidRPr="00432410">
        <w:rPr>
          <w:rFonts w:ascii="Cambria" w:hAnsi="Cambria"/>
          <w:lang w:val="fr-FR"/>
        </w:rPr>
        <w:t xml:space="preserve">. </w:t>
      </w:r>
      <w:proofErr w:type="gramStart"/>
      <w:r w:rsidRPr="00432410">
        <w:rPr>
          <w:rFonts w:ascii="Cambria" w:hAnsi="Cambria"/>
        </w:rPr>
        <w:t xml:space="preserve">Retrieved from </w:t>
      </w:r>
      <w:hyperlink r:id="rId9" w:history="1">
        <w:r w:rsidRPr="00432410">
          <w:rPr>
            <w:rFonts w:ascii="Cambria" w:hAnsi="Cambria"/>
          </w:rPr>
          <w:t>http://classifications.carnegiefoundation.org/descriptions/community_engagement.php</w:t>
        </w:r>
      </w:hyperlink>
      <w:r w:rsidRPr="00432410">
        <w:rPr>
          <w:rFonts w:ascii="Cambria" w:hAnsi="Cambria"/>
        </w:rPr>
        <w:t>.</w:t>
      </w:r>
      <w:proofErr w:type="gramEnd"/>
      <w:r w:rsidRPr="00432410">
        <w:rPr>
          <w:rFonts w:ascii="Cambria" w:hAnsi="Cambria"/>
        </w:rPr>
        <w:t xml:space="preserve"> </w:t>
      </w:r>
    </w:p>
    <w:p w:rsidR="00AA34D4" w:rsidRDefault="00AA34D4" w:rsidP="00C51B15">
      <w:pPr>
        <w:ind w:left="0" w:firstLine="0"/>
        <w:rPr>
          <w:rFonts w:ascii="Cambria" w:hAnsi="Cambria"/>
        </w:rPr>
      </w:pPr>
    </w:p>
    <w:p w:rsidR="00AA34D4" w:rsidRPr="00432410" w:rsidRDefault="00AA34D4" w:rsidP="007A5D28">
      <w:pPr>
        <w:ind w:hanging="720"/>
        <w:rPr>
          <w:rFonts w:ascii="Cambria" w:hAnsi="Cambria"/>
        </w:rPr>
      </w:pPr>
      <w:proofErr w:type="gramStart"/>
      <w:r w:rsidRPr="008A0299">
        <w:rPr>
          <w:rFonts w:ascii="Cambria" w:hAnsi="Cambria"/>
          <w:vertAlign w:val="superscript"/>
        </w:rPr>
        <w:t>2</w:t>
      </w:r>
      <w:r w:rsidRPr="00432410">
        <w:rPr>
          <w:rFonts w:ascii="Cambria" w:hAnsi="Cambria"/>
        </w:rPr>
        <w:t>Clinical and Translational Science Awards Consortium’s Community Engagement Key Function Committee.</w:t>
      </w:r>
      <w:proofErr w:type="gramEnd"/>
      <w:r w:rsidRPr="00432410">
        <w:rPr>
          <w:rFonts w:ascii="Cambria" w:hAnsi="Cambria"/>
        </w:rPr>
        <w:t xml:space="preserve"> (2011). </w:t>
      </w:r>
      <w:r w:rsidRPr="00432410">
        <w:rPr>
          <w:rFonts w:ascii="Cambria" w:hAnsi="Cambria"/>
          <w:i/>
        </w:rPr>
        <w:t xml:space="preserve">Principles of community engagement (2nd </w:t>
      </w:r>
      <w:proofErr w:type="spellStart"/>
      <w:proofErr w:type="gramStart"/>
      <w:r w:rsidRPr="00432410">
        <w:rPr>
          <w:rFonts w:ascii="Cambria" w:hAnsi="Cambria"/>
          <w:i/>
        </w:rPr>
        <w:t>ed</w:t>
      </w:r>
      <w:proofErr w:type="spellEnd"/>
      <w:proofErr w:type="gramEnd"/>
      <w:r w:rsidRPr="00432410">
        <w:rPr>
          <w:rFonts w:ascii="Cambria" w:hAnsi="Cambria"/>
          <w:i/>
        </w:rPr>
        <w:t>).</w:t>
      </w:r>
      <w:r w:rsidRPr="00432410">
        <w:rPr>
          <w:rFonts w:ascii="Cambria" w:hAnsi="Cambria"/>
        </w:rPr>
        <w:t xml:space="preserve"> (NIH Publication No. 11-7782). </w:t>
      </w:r>
      <w:proofErr w:type="gramStart"/>
      <w:r w:rsidRPr="00432410">
        <w:rPr>
          <w:rFonts w:ascii="Cambria" w:hAnsi="Cambria"/>
        </w:rPr>
        <w:t xml:space="preserve">Retrieved from </w:t>
      </w:r>
      <w:hyperlink r:id="rId10" w:history="1">
        <w:r w:rsidRPr="00432410">
          <w:rPr>
            <w:rFonts w:ascii="Cambria" w:hAnsi="Cambria"/>
          </w:rPr>
          <w:t>http://www.atsdr.cdc.gov/communityengagement/pdf/PCE_Report_508_FINAL.pdf</w:t>
        </w:r>
      </w:hyperlink>
      <w:r w:rsidRPr="00432410">
        <w:rPr>
          <w:rFonts w:ascii="Cambria" w:hAnsi="Cambria"/>
        </w:rPr>
        <w:t>.</w:t>
      </w:r>
      <w:proofErr w:type="gramEnd"/>
      <w:r w:rsidRPr="00432410">
        <w:rPr>
          <w:rFonts w:ascii="Cambria" w:hAnsi="Cambria"/>
        </w:rPr>
        <w:t xml:space="preserve"> </w:t>
      </w:r>
    </w:p>
    <w:p w:rsidR="00AA34D4" w:rsidRDefault="00AA34D4" w:rsidP="00C51B15">
      <w:pPr>
        <w:ind w:left="0" w:firstLine="0"/>
      </w:pPr>
    </w:p>
    <w:p w:rsidR="00AA34D4" w:rsidRPr="00432410" w:rsidRDefault="00AA34D4" w:rsidP="007A5D28">
      <w:pPr>
        <w:ind w:hanging="720"/>
        <w:rPr>
          <w:rFonts w:ascii="Cambria" w:hAnsi="Cambria"/>
        </w:rPr>
      </w:pPr>
      <w:proofErr w:type="gramStart"/>
      <w:r w:rsidRPr="008A0299">
        <w:rPr>
          <w:rFonts w:ascii="Cambria" w:hAnsi="Cambria"/>
          <w:vertAlign w:val="superscript"/>
        </w:rPr>
        <w:t>3</w:t>
      </w:r>
      <w:r w:rsidRPr="00432410">
        <w:rPr>
          <w:rFonts w:ascii="Cambria" w:hAnsi="Cambria"/>
        </w:rPr>
        <w:t xml:space="preserve">Driscoll, A., &amp; </w:t>
      </w:r>
      <w:proofErr w:type="spellStart"/>
      <w:r w:rsidRPr="00432410">
        <w:rPr>
          <w:rFonts w:ascii="Cambria" w:hAnsi="Cambria"/>
        </w:rPr>
        <w:t>Sandmann</w:t>
      </w:r>
      <w:proofErr w:type="spellEnd"/>
      <w:r w:rsidRPr="00432410">
        <w:rPr>
          <w:rFonts w:ascii="Cambria" w:hAnsi="Cambria"/>
        </w:rPr>
        <w:t>, L. (2011).</w:t>
      </w:r>
      <w:proofErr w:type="gramEnd"/>
      <w:r w:rsidRPr="00432410">
        <w:rPr>
          <w:rFonts w:ascii="Cambria" w:hAnsi="Cambria"/>
        </w:rPr>
        <w:t xml:space="preserve"> </w:t>
      </w:r>
      <w:proofErr w:type="gramStart"/>
      <w:r w:rsidRPr="00432410">
        <w:rPr>
          <w:rFonts w:ascii="Cambria" w:hAnsi="Cambria"/>
          <w:i/>
        </w:rPr>
        <w:t>Evaluation Criteria for the Scholarship of Engagement</w:t>
      </w:r>
      <w:r w:rsidRPr="00432410">
        <w:rPr>
          <w:rFonts w:ascii="Cambria" w:hAnsi="Cambria"/>
        </w:rPr>
        <w:t>.</w:t>
      </w:r>
      <w:proofErr w:type="gramEnd"/>
      <w:r w:rsidRPr="00432410">
        <w:rPr>
          <w:rFonts w:ascii="Cambria" w:hAnsi="Cambria"/>
        </w:rPr>
        <w:t xml:space="preserve"> </w:t>
      </w:r>
      <w:proofErr w:type="gramStart"/>
      <w:r w:rsidRPr="00432410">
        <w:rPr>
          <w:rFonts w:ascii="Cambria" w:hAnsi="Cambria"/>
        </w:rPr>
        <w:t>Retrieved from http://www.scholarshipofengagement.org/evaluation/evaluation_criteria.html.</w:t>
      </w:r>
      <w:proofErr w:type="gramEnd"/>
    </w:p>
    <w:p w:rsidR="00AA34D4" w:rsidRDefault="00AA34D4" w:rsidP="00C51B15">
      <w:pPr>
        <w:ind w:left="0" w:firstLine="0"/>
      </w:pPr>
    </w:p>
    <w:p w:rsidR="00AA34D4" w:rsidRPr="00432410" w:rsidRDefault="00AA34D4" w:rsidP="007A5D28">
      <w:pPr>
        <w:ind w:hanging="720"/>
        <w:rPr>
          <w:rFonts w:ascii="Cambria" w:hAnsi="Cambria"/>
        </w:rPr>
      </w:pPr>
      <w:proofErr w:type="gramStart"/>
      <w:r w:rsidRPr="008A0299">
        <w:rPr>
          <w:rFonts w:ascii="Cambria" w:hAnsi="Cambria"/>
          <w:vertAlign w:val="superscript"/>
        </w:rPr>
        <w:t>4</w:t>
      </w:r>
      <w:r w:rsidRPr="00432410">
        <w:rPr>
          <w:rFonts w:ascii="Cambria" w:hAnsi="Cambria"/>
        </w:rPr>
        <w:t xml:space="preserve">Glassick, C., Huber, M., &amp; </w:t>
      </w:r>
      <w:proofErr w:type="spellStart"/>
      <w:r w:rsidRPr="00432410">
        <w:rPr>
          <w:rFonts w:ascii="Cambria" w:hAnsi="Cambria"/>
        </w:rPr>
        <w:t>Maeroff</w:t>
      </w:r>
      <w:proofErr w:type="spellEnd"/>
      <w:r w:rsidRPr="00432410">
        <w:rPr>
          <w:rFonts w:ascii="Cambria" w:hAnsi="Cambria"/>
        </w:rPr>
        <w:t>, G. (1997).</w:t>
      </w:r>
      <w:proofErr w:type="gramEnd"/>
      <w:r w:rsidRPr="00432410">
        <w:rPr>
          <w:rFonts w:ascii="Cambria" w:hAnsi="Cambria"/>
        </w:rPr>
        <w:t xml:space="preserve"> </w:t>
      </w:r>
      <w:r w:rsidRPr="00432410">
        <w:rPr>
          <w:rFonts w:ascii="Cambria" w:hAnsi="Cambria"/>
          <w:i/>
        </w:rPr>
        <w:t>Scholarship assessed: Evaluation of the professoriate</w:t>
      </w:r>
      <w:r w:rsidRPr="00432410">
        <w:rPr>
          <w:rFonts w:ascii="Cambria" w:hAnsi="Cambria"/>
        </w:rPr>
        <w:t xml:space="preserve">. </w:t>
      </w:r>
      <w:smartTag w:uri="urn:schemas-microsoft-com:office:smarttags" w:element="place">
        <w:smartTag w:uri="urn:schemas-microsoft-com:office:smarttags" w:element="City">
          <w:r w:rsidRPr="00432410">
            <w:rPr>
              <w:rFonts w:ascii="Cambria" w:hAnsi="Cambria"/>
            </w:rPr>
            <w:t>San Francisco</w:t>
          </w:r>
        </w:smartTag>
      </w:smartTag>
      <w:r w:rsidRPr="00432410">
        <w:rPr>
          <w:rFonts w:ascii="Cambria" w:hAnsi="Cambria"/>
        </w:rPr>
        <w:t xml:space="preserve">: </w:t>
      </w:r>
      <w:proofErr w:type="spellStart"/>
      <w:r w:rsidRPr="00432410">
        <w:rPr>
          <w:rFonts w:ascii="Cambria" w:hAnsi="Cambria"/>
        </w:rPr>
        <w:t>Jossey</w:t>
      </w:r>
      <w:proofErr w:type="spellEnd"/>
      <w:r w:rsidRPr="00432410">
        <w:rPr>
          <w:rFonts w:ascii="Cambria" w:hAnsi="Cambria"/>
        </w:rPr>
        <w:t>-Bass.</w:t>
      </w:r>
    </w:p>
    <w:p w:rsidR="00AA34D4" w:rsidRDefault="00AA34D4" w:rsidP="00C51B15">
      <w:pPr>
        <w:ind w:left="0" w:firstLine="0"/>
      </w:pPr>
    </w:p>
    <w:p w:rsidR="00AA34D4" w:rsidRDefault="00AA34D4" w:rsidP="00412CB1">
      <w:pPr>
        <w:ind w:hanging="720"/>
      </w:pPr>
      <w:r w:rsidRPr="008A0299">
        <w:rPr>
          <w:rFonts w:ascii="Cambria" w:hAnsi="Cambria"/>
          <w:vertAlign w:val="superscript"/>
        </w:rPr>
        <w:t>5</w:t>
      </w:r>
      <w:r w:rsidRPr="00432410">
        <w:rPr>
          <w:rFonts w:ascii="Cambria" w:hAnsi="Cambria"/>
        </w:rPr>
        <w:t xml:space="preserve">Harter, L.M., Hamel-Lambert, J., &amp; </w:t>
      </w:r>
      <w:proofErr w:type="spellStart"/>
      <w:r w:rsidRPr="00432410">
        <w:rPr>
          <w:rFonts w:ascii="Cambria" w:hAnsi="Cambria"/>
        </w:rPr>
        <w:t>Millesen</w:t>
      </w:r>
      <w:proofErr w:type="spellEnd"/>
      <w:r w:rsidRPr="00432410">
        <w:rPr>
          <w:rFonts w:ascii="Cambria" w:hAnsi="Cambria"/>
        </w:rPr>
        <w:t xml:space="preserve">, J. (2011). </w:t>
      </w:r>
      <w:r w:rsidRPr="00432410">
        <w:rPr>
          <w:rFonts w:ascii="Cambria" w:hAnsi="Cambria"/>
          <w:i/>
        </w:rPr>
        <w:t>Participatory partnerships for social action and research</w:t>
      </w:r>
      <w:r w:rsidRPr="00432410">
        <w:rPr>
          <w:rFonts w:ascii="Cambria" w:hAnsi="Cambria"/>
        </w:rPr>
        <w:t xml:space="preserve">. </w:t>
      </w:r>
      <w:smartTag w:uri="urn:schemas-microsoft-com:office:smarttags" w:element="place">
        <w:smartTag w:uri="urn:schemas-microsoft-com:office:smarttags" w:element="City">
          <w:r w:rsidRPr="00432410">
            <w:rPr>
              <w:rFonts w:ascii="Cambria" w:hAnsi="Cambria"/>
            </w:rPr>
            <w:t>Dubuque</w:t>
          </w:r>
        </w:smartTag>
        <w:r w:rsidRPr="00432410">
          <w:rPr>
            <w:rFonts w:ascii="Cambria" w:hAnsi="Cambria"/>
          </w:rPr>
          <w:t xml:space="preserve">, </w:t>
        </w:r>
        <w:smartTag w:uri="urn:schemas-microsoft-com:office:smarttags" w:element="State">
          <w:r w:rsidRPr="00432410">
            <w:rPr>
              <w:rFonts w:ascii="Cambria" w:hAnsi="Cambria"/>
            </w:rPr>
            <w:t>IA</w:t>
          </w:r>
        </w:smartTag>
      </w:smartTag>
      <w:r w:rsidRPr="00432410">
        <w:rPr>
          <w:rFonts w:ascii="Cambria" w:hAnsi="Cambria"/>
        </w:rPr>
        <w:t>: Kendall Hunt Press.</w:t>
      </w:r>
    </w:p>
    <w:p w:rsidR="00AA34D4" w:rsidRDefault="00AA34D4" w:rsidP="00412CB1">
      <w:pPr>
        <w:ind w:hanging="720"/>
      </w:pPr>
    </w:p>
    <w:p w:rsidR="00AA34D4" w:rsidRPr="00432410" w:rsidRDefault="00AA34D4" w:rsidP="00412CB1">
      <w:pPr>
        <w:ind w:hanging="720"/>
        <w:rPr>
          <w:rFonts w:ascii="Cambria" w:hAnsi="Cambria"/>
        </w:rPr>
      </w:pPr>
      <w:r w:rsidRPr="008A0299">
        <w:rPr>
          <w:rFonts w:ascii="Cambria" w:hAnsi="Cambria"/>
          <w:vertAlign w:val="superscript"/>
        </w:rPr>
        <w:t>6</w:t>
      </w:r>
      <w:r w:rsidRPr="00432410">
        <w:rPr>
          <w:rFonts w:ascii="Cambria" w:hAnsi="Cambria"/>
        </w:rPr>
        <w:t xml:space="preserve">Lynton, E.A. (1995). </w:t>
      </w:r>
      <w:r w:rsidRPr="00432410">
        <w:rPr>
          <w:rFonts w:ascii="Cambria" w:hAnsi="Cambria"/>
          <w:i/>
        </w:rPr>
        <w:t>Making the case for professional service</w:t>
      </w:r>
      <w:r w:rsidRPr="00432410">
        <w:rPr>
          <w:rFonts w:ascii="Cambria" w:hAnsi="Cambria"/>
        </w:rPr>
        <w:t xml:space="preserve">. </w:t>
      </w:r>
      <w:smartTag w:uri="urn:schemas-microsoft-com:office:smarttags" w:element="place">
        <w:smartTag w:uri="urn:schemas-microsoft-com:office:smarttags" w:element="City">
          <w:r w:rsidRPr="00432410">
            <w:rPr>
              <w:rFonts w:ascii="Cambria" w:hAnsi="Cambria"/>
            </w:rPr>
            <w:t>Washington</w:t>
          </w:r>
        </w:smartTag>
        <w:r w:rsidRPr="00432410">
          <w:rPr>
            <w:rFonts w:ascii="Cambria" w:hAnsi="Cambria"/>
          </w:rPr>
          <w:t xml:space="preserve">, </w:t>
        </w:r>
        <w:smartTag w:uri="urn:schemas-microsoft-com:office:smarttags" w:element="State">
          <w:r w:rsidRPr="00432410">
            <w:rPr>
              <w:rFonts w:ascii="Cambria" w:hAnsi="Cambria"/>
            </w:rPr>
            <w:t>DC</w:t>
          </w:r>
        </w:smartTag>
      </w:smartTag>
      <w:r w:rsidRPr="00432410">
        <w:rPr>
          <w:rFonts w:ascii="Cambria" w:hAnsi="Cambria"/>
        </w:rPr>
        <w:t>: American Association for Higher Education.</w:t>
      </w:r>
    </w:p>
    <w:p w:rsidR="00AA34D4" w:rsidRDefault="00AA34D4" w:rsidP="00412CB1">
      <w:pPr>
        <w:ind w:hanging="720"/>
      </w:pPr>
    </w:p>
    <w:p w:rsidR="00AA34D4" w:rsidRPr="00432410" w:rsidRDefault="00AA34D4" w:rsidP="00412CB1">
      <w:pPr>
        <w:ind w:hanging="720"/>
        <w:rPr>
          <w:rFonts w:ascii="Cambria" w:hAnsi="Cambria"/>
        </w:rPr>
      </w:pPr>
      <w:r w:rsidRPr="008A0299">
        <w:rPr>
          <w:rFonts w:ascii="Cambria" w:hAnsi="Cambria"/>
          <w:vertAlign w:val="superscript"/>
        </w:rPr>
        <w:t>7</w:t>
      </w:r>
      <w:r w:rsidRPr="00432410">
        <w:rPr>
          <w:rFonts w:ascii="Cambria" w:hAnsi="Cambria"/>
        </w:rPr>
        <w:t xml:space="preserve">Saltmarsh, J. (2010). Changing pedagogies. In H. Fitzgerald, C. </w:t>
      </w:r>
      <w:proofErr w:type="spellStart"/>
      <w:r w:rsidRPr="00432410">
        <w:rPr>
          <w:rFonts w:ascii="Cambria" w:hAnsi="Cambria"/>
        </w:rPr>
        <w:t>Burack</w:t>
      </w:r>
      <w:proofErr w:type="spellEnd"/>
      <w:r w:rsidRPr="00432410">
        <w:rPr>
          <w:rFonts w:ascii="Cambria" w:hAnsi="Cambria"/>
        </w:rPr>
        <w:t xml:space="preserve">, &amp; </w:t>
      </w:r>
      <w:smartTag w:uri="urn:schemas-microsoft-com:office:smarttags" w:element="place">
        <w:r w:rsidRPr="00432410">
          <w:rPr>
            <w:rFonts w:ascii="Cambria" w:hAnsi="Cambria"/>
          </w:rPr>
          <w:t xml:space="preserve">S. </w:t>
        </w:r>
        <w:proofErr w:type="spellStart"/>
        <w:r w:rsidRPr="00432410">
          <w:rPr>
            <w:rFonts w:ascii="Cambria" w:hAnsi="Cambria"/>
          </w:rPr>
          <w:t>Seifer</w:t>
        </w:r>
      </w:smartTag>
      <w:proofErr w:type="spellEnd"/>
      <w:r w:rsidRPr="00432410">
        <w:rPr>
          <w:rFonts w:ascii="Cambria" w:hAnsi="Cambria"/>
        </w:rPr>
        <w:t xml:space="preserve"> (Eds.). </w:t>
      </w:r>
      <w:r w:rsidRPr="00432410">
        <w:rPr>
          <w:rFonts w:ascii="Cambria" w:hAnsi="Cambria"/>
          <w:i/>
        </w:rPr>
        <w:t>Handbook of engaged scholarship: Contemporary landscapes, future directions. Vol. 1: Institutional change</w:t>
      </w:r>
      <w:r w:rsidRPr="00432410">
        <w:rPr>
          <w:rFonts w:ascii="Cambria" w:hAnsi="Cambria"/>
        </w:rPr>
        <w:t xml:space="preserve">. </w:t>
      </w:r>
      <w:smartTag w:uri="urn:schemas-microsoft-com:office:smarttags" w:element="City">
        <w:r w:rsidRPr="00432410">
          <w:rPr>
            <w:rFonts w:ascii="Cambria" w:hAnsi="Cambria"/>
          </w:rPr>
          <w:t>East Lansing</w:t>
        </w:r>
      </w:smartTag>
      <w:r w:rsidRPr="00432410">
        <w:rPr>
          <w:rFonts w:ascii="Cambria" w:hAnsi="Cambria"/>
        </w:rPr>
        <w:t xml:space="preserve">, </w:t>
      </w:r>
      <w:smartTag w:uri="urn:schemas-microsoft-com:office:smarttags" w:element="State">
        <w:r w:rsidRPr="00432410">
          <w:rPr>
            <w:rFonts w:ascii="Cambria" w:hAnsi="Cambria"/>
          </w:rPr>
          <w:t>MI</w:t>
        </w:r>
      </w:smartTag>
      <w:r w:rsidRPr="00432410">
        <w:rPr>
          <w:rFonts w:ascii="Cambria" w:hAnsi="Cambria"/>
        </w:rPr>
        <w:t xml:space="preserve">: </w:t>
      </w:r>
      <w:smartTag w:uri="urn:schemas-microsoft-com:office:smarttags" w:element="place">
        <w:smartTag w:uri="urn:schemas-microsoft-com:office:smarttags" w:element="PlaceName">
          <w:r w:rsidRPr="00432410">
            <w:rPr>
              <w:rFonts w:ascii="Cambria" w:hAnsi="Cambria"/>
            </w:rPr>
            <w:t>Michigan</w:t>
          </w:r>
        </w:smartTag>
        <w:r w:rsidRPr="00432410">
          <w:rPr>
            <w:rFonts w:ascii="Cambria" w:hAnsi="Cambria"/>
          </w:rPr>
          <w:t xml:space="preserve"> </w:t>
        </w:r>
        <w:smartTag w:uri="urn:schemas-microsoft-com:office:smarttags" w:element="PlaceType">
          <w:r w:rsidRPr="00432410">
            <w:rPr>
              <w:rFonts w:ascii="Cambria" w:hAnsi="Cambria"/>
            </w:rPr>
            <w:t>State</w:t>
          </w:r>
        </w:smartTag>
        <w:r w:rsidRPr="00432410">
          <w:rPr>
            <w:rFonts w:ascii="Cambria" w:hAnsi="Cambria"/>
          </w:rPr>
          <w:t xml:space="preserve"> </w:t>
        </w:r>
        <w:smartTag w:uri="urn:schemas-microsoft-com:office:smarttags" w:element="PlaceType">
          <w:r w:rsidRPr="00432410">
            <w:rPr>
              <w:rFonts w:ascii="Cambria" w:hAnsi="Cambria"/>
            </w:rPr>
            <w:t>University</w:t>
          </w:r>
        </w:smartTag>
      </w:smartTag>
      <w:r w:rsidRPr="00432410">
        <w:rPr>
          <w:rFonts w:ascii="Cambria" w:hAnsi="Cambria"/>
        </w:rPr>
        <w:t xml:space="preserve"> Press. </w:t>
      </w:r>
    </w:p>
    <w:p w:rsidR="00AA34D4" w:rsidRDefault="00AA34D4" w:rsidP="00A81B00">
      <w:pPr>
        <w:ind w:left="0" w:firstLine="0"/>
      </w:pPr>
    </w:p>
    <w:p w:rsidR="00AA34D4" w:rsidRDefault="00AA34D4" w:rsidP="00412CB1">
      <w:pPr>
        <w:ind w:hanging="720"/>
      </w:pPr>
      <w:smartTag w:uri="urn:schemas-microsoft-com:office:smarttags" w:element="PlaceName">
        <w:r w:rsidRPr="008A0299">
          <w:rPr>
            <w:rFonts w:ascii="Cambria" w:hAnsi="Cambria"/>
            <w:vertAlign w:val="superscript"/>
          </w:rPr>
          <w:t>8</w:t>
        </w:r>
        <w:r w:rsidRPr="00432410">
          <w:rPr>
            <w:rFonts w:ascii="Cambria" w:hAnsi="Cambria"/>
          </w:rPr>
          <w:t>The</w:t>
        </w:r>
      </w:smartTag>
      <w:r w:rsidRPr="00432410">
        <w:rPr>
          <w:rFonts w:ascii="Cambria" w:hAnsi="Cambria"/>
        </w:rPr>
        <w:t xml:space="preserve"> </w:t>
      </w:r>
      <w:smartTag w:uri="urn:schemas-microsoft-com:office:smarttags" w:element="PlaceType">
        <w:r w:rsidRPr="00432410">
          <w:rPr>
            <w:rFonts w:ascii="Cambria" w:hAnsi="Cambria"/>
          </w:rPr>
          <w:t>University</w:t>
        </w:r>
      </w:smartTag>
      <w:r w:rsidRPr="00432410">
        <w:rPr>
          <w:rFonts w:ascii="Cambria" w:hAnsi="Cambria"/>
        </w:rPr>
        <w:t xml:space="preserve"> of </w:t>
      </w:r>
      <w:smartTag w:uri="urn:schemas-microsoft-com:office:smarttags" w:element="PlaceName">
        <w:smartTag w:uri="urn:schemas-microsoft-com:office:smarttags" w:element="place">
          <w:r w:rsidRPr="00432410">
            <w:rPr>
              <w:rFonts w:ascii="Cambria" w:hAnsi="Cambria"/>
            </w:rPr>
            <w:t>Kansas</w:t>
          </w:r>
        </w:smartTag>
        <w:r w:rsidRPr="00432410">
          <w:rPr>
            <w:rFonts w:ascii="Cambria" w:hAnsi="Cambria"/>
          </w:rPr>
          <w:t xml:space="preserve"> </w:t>
        </w:r>
        <w:smartTag w:uri="urn:schemas-microsoft-com:office:smarttags" w:element="PlaceType">
          <w:r w:rsidRPr="00432410">
            <w:rPr>
              <w:rFonts w:ascii="Cambria" w:hAnsi="Cambria"/>
            </w:rPr>
            <w:t>Beach</w:t>
          </w:r>
        </w:smartTag>
        <w:r w:rsidRPr="00432410">
          <w:rPr>
            <w:rFonts w:ascii="Cambria" w:hAnsi="Cambria"/>
          </w:rPr>
          <w:t xml:space="preserve"> </w:t>
        </w:r>
        <w:smartTag w:uri="urn:schemas-microsoft-com:office:smarttags" w:element="PlaceType">
          <w:r w:rsidRPr="00432410">
            <w:rPr>
              <w:rFonts w:ascii="Cambria" w:hAnsi="Cambria"/>
            </w:rPr>
            <w:t>Center</w:t>
          </w:r>
        </w:smartTag>
      </w:smartTag>
      <w:r w:rsidRPr="00432410">
        <w:rPr>
          <w:rFonts w:ascii="Cambria" w:hAnsi="Cambria"/>
        </w:rPr>
        <w:t xml:space="preserve"> on Disability. (2012). </w:t>
      </w:r>
      <w:r w:rsidRPr="00432410">
        <w:rPr>
          <w:rFonts w:ascii="Cambria" w:hAnsi="Cambria"/>
          <w:i/>
        </w:rPr>
        <w:t>Participatory action research</w:t>
      </w:r>
      <w:r w:rsidRPr="00432410">
        <w:rPr>
          <w:rFonts w:ascii="Cambria" w:hAnsi="Cambria"/>
        </w:rPr>
        <w:t xml:space="preserve">. Retrieved from </w:t>
      </w:r>
      <w:hyperlink r:id="rId11" w:history="1">
        <w:r w:rsidRPr="00432410">
          <w:rPr>
            <w:rFonts w:ascii="Cambria" w:hAnsi="Cambria"/>
          </w:rPr>
          <w:t>http://www.beachcenter.org/families/partnerships/participatory_action_research.aspx?Jscript=1&amp;JScript=1</w:t>
        </w:r>
      </w:hyperlink>
      <w:r w:rsidRPr="00432410">
        <w:rPr>
          <w:rFonts w:ascii="Cambria" w:hAnsi="Cambria"/>
        </w:rPr>
        <w:t>.</w:t>
      </w:r>
    </w:p>
    <w:p w:rsidR="00AA34D4" w:rsidRDefault="00AA34D4" w:rsidP="00412CB1">
      <w:pPr>
        <w:ind w:hanging="720"/>
      </w:pPr>
    </w:p>
    <w:p w:rsidR="00AA34D4" w:rsidRPr="002F59C4" w:rsidRDefault="00AA34D4" w:rsidP="00412CB1">
      <w:pPr>
        <w:ind w:hanging="720"/>
      </w:pPr>
      <w:r w:rsidRPr="008A0299">
        <w:rPr>
          <w:rFonts w:ascii="Cambria" w:hAnsi="Cambria"/>
          <w:vertAlign w:val="superscript"/>
        </w:rPr>
        <w:t>9</w:t>
      </w:r>
      <w:r w:rsidRPr="00432410">
        <w:rPr>
          <w:rFonts w:ascii="Cambria" w:hAnsi="Cambria"/>
        </w:rPr>
        <w:t xml:space="preserve">U.S. Department of Health and Human Services Office of Behavioral and Social Science Research. (unknown). </w:t>
      </w:r>
      <w:r w:rsidRPr="00432410">
        <w:rPr>
          <w:rFonts w:ascii="Cambria" w:hAnsi="Cambria"/>
          <w:i/>
        </w:rPr>
        <w:t>Community-based participatory research</w:t>
      </w:r>
      <w:r w:rsidRPr="00432410">
        <w:rPr>
          <w:rFonts w:ascii="Cambria" w:hAnsi="Cambria"/>
        </w:rPr>
        <w:t xml:space="preserve">. Retrieved from </w:t>
      </w:r>
      <w:hyperlink r:id="rId12" w:history="1">
        <w:r w:rsidRPr="00432410">
          <w:rPr>
            <w:rFonts w:ascii="Cambria" w:hAnsi="Cambria"/>
          </w:rPr>
          <w:t>http://obssr.od.nih.gov/scientific_areas/methodology/community_based_participatory_research/index.aspx</w:t>
        </w:r>
      </w:hyperlink>
      <w:r w:rsidRPr="00432410">
        <w:rPr>
          <w:rFonts w:ascii="Cambria" w:hAnsi="Cambria"/>
        </w:rPr>
        <w:t xml:space="preserve">. </w:t>
      </w:r>
    </w:p>
    <w:sectPr w:rsidR="00AA34D4" w:rsidRPr="002F59C4" w:rsidSect="00D432FA">
      <w:head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D4" w:rsidRDefault="00AA34D4" w:rsidP="009205FB">
      <w:r>
        <w:separator/>
      </w:r>
    </w:p>
  </w:endnote>
  <w:endnote w:type="continuationSeparator" w:id="0">
    <w:p w:rsidR="00AA34D4" w:rsidRDefault="00AA34D4" w:rsidP="009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D4" w:rsidRDefault="00AA34D4" w:rsidP="009205FB">
      <w:r>
        <w:separator/>
      </w:r>
    </w:p>
  </w:footnote>
  <w:footnote w:type="continuationSeparator" w:id="0">
    <w:p w:rsidR="00AA34D4" w:rsidRDefault="00AA34D4" w:rsidP="0092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4" w:rsidRPr="007B4846" w:rsidRDefault="00AA34D4" w:rsidP="009205FB">
    <w:pPr>
      <w:pStyle w:val="Header"/>
      <w:jc w:val="center"/>
      <w:rPr>
        <w:rFonts w:ascii="Cambria" w:hAnsi="Cambria"/>
        <w:b/>
        <w:sz w:val="28"/>
        <w:szCs w:val="28"/>
      </w:rPr>
    </w:pPr>
    <w:r w:rsidRPr="007B4846">
      <w:rPr>
        <w:rFonts w:ascii="Cambria" w:hAnsi="Cambria"/>
        <w:b/>
        <w:sz w:val="28"/>
        <w:szCs w:val="28"/>
      </w:rPr>
      <w:t xml:space="preserve">Community Engagement: Key Terms and Proposed Definitions </w:t>
    </w:r>
  </w:p>
  <w:p w:rsidR="00AA34D4" w:rsidRPr="007B4846" w:rsidRDefault="00AA34D4" w:rsidP="009205FB">
    <w:pPr>
      <w:pStyle w:val="Header"/>
      <w:jc w:val="center"/>
      <w:rPr>
        <w:rFonts w:ascii="Cambria" w:hAnsi="Cambria"/>
        <w:b/>
      </w:rPr>
    </w:pPr>
    <w:r>
      <w:rPr>
        <w:rFonts w:ascii="Cambria" w:hAnsi="Cambria"/>
        <w:b/>
      </w:rPr>
      <w:t xml:space="preserve">VCU </w:t>
    </w:r>
    <w:r w:rsidRPr="007B4846">
      <w:rPr>
        <w:rFonts w:ascii="Cambria" w:hAnsi="Cambria"/>
        <w:b/>
      </w:rPr>
      <w:t>Council for Community Engagement</w:t>
    </w:r>
  </w:p>
  <w:p w:rsidR="00AA34D4" w:rsidRDefault="00AA34D4" w:rsidP="007B4846">
    <w:pPr>
      <w:pStyle w:val="Header"/>
      <w:jc w:val="center"/>
      <w:rPr>
        <w:rFonts w:ascii="Cambria" w:hAnsi="Cambria"/>
        <w:b/>
      </w:rPr>
    </w:pPr>
    <w:r>
      <w:rPr>
        <w:rFonts w:ascii="Cambria" w:hAnsi="Cambria"/>
        <w:b/>
      </w:rPr>
      <w:t xml:space="preserve">Working Document </w:t>
    </w:r>
  </w:p>
  <w:p w:rsidR="00AA34D4" w:rsidRPr="007B4846" w:rsidRDefault="00AA34D4" w:rsidP="007B4846">
    <w:pPr>
      <w:pStyle w:val="Header"/>
      <w:jc w:val="center"/>
      <w:rPr>
        <w:rFonts w:ascii="Cambria" w:hAnsi="Cambria"/>
        <w:b/>
      </w:rPr>
    </w:pPr>
  </w:p>
  <w:p w:rsidR="00AA34D4" w:rsidRPr="007B4846" w:rsidRDefault="00AA34D4" w:rsidP="009205FB">
    <w:pPr>
      <w:pStyle w:val="Header"/>
      <w:jc w:val="cent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C4F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42550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AA418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9CDB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ACE4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525B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2A0C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20DD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2484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981B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FB"/>
    <w:rsid w:val="00054511"/>
    <w:rsid w:val="000747C8"/>
    <w:rsid w:val="000A6BE5"/>
    <w:rsid w:val="00163A06"/>
    <w:rsid w:val="0017518A"/>
    <w:rsid w:val="001A7751"/>
    <w:rsid w:val="00216B0C"/>
    <w:rsid w:val="00234583"/>
    <w:rsid w:val="00243741"/>
    <w:rsid w:val="00244EA3"/>
    <w:rsid w:val="0024704F"/>
    <w:rsid w:val="00275433"/>
    <w:rsid w:val="00286857"/>
    <w:rsid w:val="002F0E16"/>
    <w:rsid w:val="002F59C4"/>
    <w:rsid w:val="00314356"/>
    <w:rsid w:val="00377D64"/>
    <w:rsid w:val="004066C0"/>
    <w:rsid w:val="00412CB1"/>
    <w:rsid w:val="00420D81"/>
    <w:rsid w:val="00432410"/>
    <w:rsid w:val="00447C28"/>
    <w:rsid w:val="00475C90"/>
    <w:rsid w:val="004B1241"/>
    <w:rsid w:val="004E6710"/>
    <w:rsid w:val="004F7C03"/>
    <w:rsid w:val="0053617F"/>
    <w:rsid w:val="00544D56"/>
    <w:rsid w:val="0056346F"/>
    <w:rsid w:val="00596870"/>
    <w:rsid w:val="005B29C0"/>
    <w:rsid w:val="005B65D2"/>
    <w:rsid w:val="00620E79"/>
    <w:rsid w:val="00643D2E"/>
    <w:rsid w:val="00685C54"/>
    <w:rsid w:val="00694C6B"/>
    <w:rsid w:val="0073250B"/>
    <w:rsid w:val="00734271"/>
    <w:rsid w:val="00757736"/>
    <w:rsid w:val="007864F0"/>
    <w:rsid w:val="007A5D28"/>
    <w:rsid w:val="007B4846"/>
    <w:rsid w:val="007E1683"/>
    <w:rsid w:val="008172CE"/>
    <w:rsid w:val="00836F37"/>
    <w:rsid w:val="00860734"/>
    <w:rsid w:val="00896C1B"/>
    <w:rsid w:val="00897F95"/>
    <w:rsid w:val="008A0299"/>
    <w:rsid w:val="008D1E99"/>
    <w:rsid w:val="009205FB"/>
    <w:rsid w:val="00927FAB"/>
    <w:rsid w:val="00952F63"/>
    <w:rsid w:val="00954048"/>
    <w:rsid w:val="0098239D"/>
    <w:rsid w:val="009D149E"/>
    <w:rsid w:val="009E58A0"/>
    <w:rsid w:val="00A2695E"/>
    <w:rsid w:val="00A31B00"/>
    <w:rsid w:val="00A81B00"/>
    <w:rsid w:val="00A820CF"/>
    <w:rsid w:val="00A85854"/>
    <w:rsid w:val="00AA34D4"/>
    <w:rsid w:val="00AE671D"/>
    <w:rsid w:val="00B00E18"/>
    <w:rsid w:val="00B269DA"/>
    <w:rsid w:val="00B338D5"/>
    <w:rsid w:val="00B63832"/>
    <w:rsid w:val="00B918A5"/>
    <w:rsid w:val="00BB7D8A"/>
    <w:rsid w:val="00BC4F58"/>
    <w:rsid w:val="00C03A0F"/>
    <w:rsid w:val="00C47061"/>
    <w:rsid w:val="00C51B15"/>
    <w:rsid w:val="00C81BAC"/>
    <w:rsid w:val="00CA4E10"/>
    <w:rsid w:val="00CA6ACF"/>
    <w:rsid w:val="00CC7EA0"/>
    <w:rsid w:val="00CE2572"/>
    <w:rsid w:val="00CF007C"/>
    <w:rsid w:val="00CF4DFF"/>
    <w:rsid w:val="00D10369"/>
    <w:rsid w:val="00D1128C"/>
    <w:rsid w:val="00D36B63"/>
    <w:rsid w:val="00D4045E"/>
    <w:rsid w:val="00D432FA"/>
    <w:rsid w:val="00D56D29"/>
    <w:rsid w:val="00D707A1"/>
    <w:rsid w:val="00D87CE4"/>
    <w:rsid w:val="00DA1DEA"/>
    <w:rsid w:val="00DB4A22"/>
    <w:rsid w:val="00DC6960"/>
    <w:rsid w:val="00E016B1"/>
    <w:rsid w:val="00E35C7A"/>
    <w:rsid w:val="00E91467"/>
    <w:rsid w:val="00EA0CC2"/>
    <w:rsid w:val="00F076AB"/>
    <w:rsid w:val="00F36CA6"/>
    <w:rsid w:val="00F4650E"/>
    <w:rsid w:val="00F65171"/>
    <w:rsid w:val="00F70905"/>
    <w:rsid w:val="00F7234F"/>
    <w:rsid w:val="00F822C0"/>
    <w:rsid w:val="00F96C3B"/>
    <w:rsid w:val="00FB2E23"/>
    <w:rsid w:val="00FB7244"/>
    <w:rsid w:val="00FC43F5"/>
    <w:rsid w:val="00FD010F"/>
    <w:rsid w:val="00FD40C9"/>
    <w:rsid w:val="00FF38F5"/>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0F"/>
    <w:pPr>
      <w:ind w:left="720" w:hanging="360"/>
    </w:pPr>
  </w:style>
  <w:style w:type="paragraph" w:styleId="Heading1">
    <w:name w:val="heading 1"/>
    <w:basedOn w:val="Normal"/>
    <w:next w:val="Normal"/>
    <w:link w:val="Heading1Char"/>
    <w:uiPriority w:val="99"/>
    <w:qFormat/>
    <w:rsid w:val="00447C28"/>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C28"/>
    <w:rPr>
      <w:rFonts w:ascii="Cambria" w:eastAsia="MS Gothic" w:hAnsi="Cambria" w:cs="Times New Roman"/>
      <w:b/>
      <w:bCs/>
      <w:color w:val="365F91"/>
      <w:sz w:val="28"/>
      <w:szCs w:val="28"/>
    </w:rPr>
  </w:style>
  <w:style w:type="table" w:styleId="TableGrid">
    <w:name w:val="Table Grid"/>
    <w:basedOn w:val="TableNormal"/>
    <w:uiPriority w:val="99"/>
    <w:rsid w:val="00920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05FB"/>
    <w:pPr>
      <w:tabs>
        <w:tab w:val="center" w:pos="4680"/>
        <w:tab w:val="right" w:pos="9360"/>
      </w:tabs>
    </w:pPr>
  </w:style>
  <w:style w:type="character" w:customStyle="1" w:styleId="HeaderChar">
    <w:name w:val="Header Char"/>
    <w:basedOn w:val="DefaultParagraphFont"/>
    <w:link w:val="Header"/>
    <w:uiPriority w:val="99"/>
    <w:locked/>
    <w:rsid w:val="009205FB"/>
    <w:rPr>
      <w:rFonts w:cs="Times New Roman"/>
    </w:rPr>
  </w:style>
  <w:style w:type="paragraph" w:styleId="Footer">
    <w:name w:val="footer"/>
    <w:basedOn w:val="Normal"/>
    <w:link w:val="FooterChar"/>
    <w:uiPriority w:val="99"/>
    <w:rsid w:val="009205FB"/>
    <w:pPr>
      <w:tabs>
        <w:tab w:val="center" w:pos="4680"/>
        <w:tab w:val="right" w:pos="9360"/>
      </w:tabs>
    </w:pPr>
  </w:style>
  <w:style w:type="character" w:customStyle="1" w:styleId="FooterChar">
    <w:name w:val="Footer Char"/>
    <w:basedOn w:val="DefaultParagraphFont"/>
    <w:link w:val="Footer"/>
    <w:uiPriority w:val="99"/>
    <w:locked/>
    <w:rsid w:val="009205FB"/>
    <w:rPr>
      <w:rFonts w:cs="Times New Roman"/>
    </w:rPr>
  </w:style>
  <w:style w:type="paragraph" w:styleId="BalloonText">
    <w:name w:val="Balloon Text"/>
    <w:basedOn w:val="Normal"/>
    <w:link w:val="BalloonTextChar"/>
    <w:uiPriority w:val="99"/>
    <w:semiHidden/>
    <w:rsid w:val="00C51B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15"/>
    <w:rPr>
      <w:rFonts w:ascii="Tahoma" w:hAnsi="Tahoma" w:cs="Tahoma"/>
      <w:sz w:val="16"/>
      <w:szCs w:val="16"/>
    </w:rPr>
  </w:style>
  <w:style w:type="character" w:styleId="Hyperlink">
    <w:name w:val="Hyperlink"/>
    <w:basedOn w:val="DefaultParagraphFont"/>
    <w:uiPriority w:val="99"/>
    <w:rsid w:val="00FC43F5"/>
    <w:rPr>
      <w:rFonts w:cs="Times New Roman"/>
      <w:color w:val="0000FF"/>
      <w:u w:val="single"/>
    </w:rPr>
  </w:style>
  <w:style w:type="character" w:customStyle="1" w:styleId="apple-converted-space">
    <w:name w:val="apple-converted-space"/>
    <w:basedOn w:val="DefaultParagraphFont"/>
    <w:uiPriority w:val="99"/>
    <w:rsid w:val="00FC43F5"/>
    <w:rPr>
      <w:rFonts w:cs="Times New Roman"/>
    </w:rPr>
  </w:style>
  <w:style w:type="paragraph" w:styleId="NoSpacing">
    <w:name w:val="No Spacing"/>
    <w:uiPriority w:val="99"/>
    <w:qFormat/>
    <w:rsid w:val="00447C28"/>
    <w:pPr>
      <w:ind w:left="720" w:hanging="360"/>
    </w:pPr>
  </w:style>
  <w:style w:type="character" w:styleId="FollowedHyperlink">
    <w:name w:val="FollowedHyperlink"/>
    <w:basedOn w:val="DefaultParagraphFont"/>
    <w:uiPriority w:val="99"/>
    <w:semiHidden/>
    <w:rsid w:val="009E58A0"/>
    <w:rPr>
      <w:rFonts w:cs="Times New Roman"/>
      <w:color w:val="800080"/>
      <w:u w:val="single"/>
    </w:rPr>
  </w:style>
  <w:style w:type="paragraph" w:customStyle="1" w:styleId="ccphbody">
    <w:name w:val="ccphbody"/>
    <w:basedOn w:val="Normal"/>
    <w:uiPriority w:val="99"/>
    <w:rsid w:val="009E58A0"/>
    <w:pPr>
      <w:spacing w:before="100" w:beforeAutospacing="1" w:after="100" w:afterAutospacing="1"/>
      <w:ind w:left="0" w:firstLine="0"/>
    </w:pPr>
    <w:rPr>
      <w:rFonts w:ascii="Verdana" w:eastAsia="Times New Roman" w:hAnsi="Verdan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0F"/>
    <w:pPr>
      <w:ind w:left="720" w:hanging="360"/>
    </w:pPr>
  </w:style>
  <w:style w:type="paragraph" w:styleId="Heading1">
    <w:name w:val="heading 1"/>
    <w:basedOn w:val="Normal"/>
    <w:next w:val="Normal"/>
    <w:link w:val="Heading1Char"/>
    <w:uiPriority w:val="99"/>
    <w:qFormat/>
    <w:rsid w:val="00447C28"/>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C28"/>
    <w:rPr>
      <w:rFonts w:ascii="Cambria" w:eastAsia="MS Gothic" w:hAnsi="Cambria" w:cs="Times New Roman"/>
      <w:b/>
      <w:bCs/>
      <w:color w:val="365F91"/>
      <w:sz w:val="28"/>
      <w:szCs w:val="28"/>
    </w:rPr>
  </w:style>
  <w:style w:type="table" w:styleId="TableGrid">
    <w:name w:val="Table Grid"/>
    <w:basedOn w:val="TableNormal"/>
    <w:uiPriority w:val="99"/>
    <w:rsid w:val="00920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05FB"/>
    <w:pPr>
      <w:tabs>
        <w:tab w:val="center" w:pos="4680"/>
        <w:tab w:val="right" w:pos="9360"/>
      </w:tabs>
    </w:pPr>
  </w:style>
  <w:style w:type="character" w:customStyle="1" w:styleId="HeaderChar">
    <w:name w:val="Header Char"/>
    <w:basedOn w:val="DefaultParagraphFont"/>
    <w:link w:val="Header"/>
    <w:uiPriority w:val="99"/>
    <w:locked/>
    <w:rsid w:val="009205FB"/>
    <w:rPr>
      <w:rFonts w:cs="Times New Roman"/>
    </w:rPr>
  </w:style>
  <w:style w:type="paragraph" w:styleId="Footer">
    <w:name w:val="footer"/>
    <w:basedOn w:val="Normal"/>
    <w:link w:val="FooterChar"/>
    <w:uiPriority w:val="99"/>
    <w:rsid w:val="009205FB"/>
    <w:pPr>
      <w:tabs>
        <w:tab w:val="center" w:pos="4680"/>
        <w:tab w:val="right" w:pos="9360"/>
      </w:tabs>
    </w:pPr>
  </w:style>
  <w:style w:type="character" w:customStyle="1" w:styleId="FooterChar">
    <w:name w:val="Footer Char"/>
    <w:basedOn w:val="DefaultParagraphFont"/>
    <w:link w:val="Footer"/>
    <w:uiPriority w:val="99"/>
    <w:locked/>
    <w:rsid w:val="009205FB"/>
    <w:rPr>
      <w:rFonts w:cs="Times New Roman"/>
    </w:rPr>
  </w:style>
  <w:style w:type="paragraph" w:styleId="BalloonText">
    <w:name w:val="Balloon Text"/>
    <w:basedOn w:val="Normal"/>
    <w:link w:val="BalloonTextChar"/>
    <w:uiPriority w:val="99"/>
    <w:semiHidden/>
    <w:rsid w:val="00C51B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15"/>
    <w:rPr>
      <w:rFonts w:ascii="Tahoma" w:hAnsi="Tahoma" w:cs="Tahoma"/>
      <w:sz w:val="16"/>
      <w:szCs w:val="16"/>
    </w:rPr>
  </w:style>
  <w:style w:type="character" w:styleId="Hyperlink">
    <w:name w:val="Hyperlink"/>
    <w:basedOn w:val="DefaultParagraphFont"/>
    <w:uiPriority w:val="99"/>
    <w:rsid w:val="00FC43F5"/>
    <w:rPr>
      <w:rFonts w:cs="Times New Roman"/>
      <w:color w:val="0000FF"/>
      <w:u w:val="single"/>
    </w:rPr>
  </w:style>
  <w:style w:type="character" w:customStyle="1" w:styleId="apple-converted-space">
    <w:name w:val="apple-converted-space"/>
    <w:basedOn w:val="DefaultParagraphFont"/>
    <w:uiPriority w:val="99"/>
    <w:rsid w:val="00FC43F5"/>
    <w:rPr>
      <w:rFonts w:cs="Times New Roman"/>
    </w:rPr>
  </w:style>
  <w:style w:type="paragraph" w:styleId="NoSpacing">
    <w:name w:val="No Spacing"/>
    <w:uiPriority w:val="99"/>
    <w:qFormat/>
    <w:rsid w:val="00447C28"/>
    <w:pPr>
      <w:ind w:left="720" w:hanging="360"/>
    </w:pPr>
  </w:style>
  <w:style w:type="character" w:styleId="FollowedHyperlink">
    <w:name w:val="FollowedHyperlink"/>
    <w:basedOn w:val="DefaultParagraphFont"/>
    <w:uiPriority w:val="99"/>
    <w:semiHidden/>
    <w:rsid w:val="009E58A0"/>
    <w:rPr>
      <w:rFonts w:cs="Times New Roman"/>
      <w:color w:val="800080"/>
      <w:u w:val="single"/>
    </w:rPr>
  </w:style>
  <w:style w:type="paragraph" w:customStyle="1" w:styleId="ccphbody">
    <w:name w:val="ccphbody"/>
    <w:basedOn w:val="Normal"/>
    <w:uiPriority w:val="99"/>
    <w:rsid w:val="009E58A0"/>
    <w:pPr>
      <w:spacing w:before="100" w:beforeAutospacing="1" w:after="100" w:afterAutospacing="1"/>
      <w:ind w:left="0" w:firstLine="0"/>
    </w:pPr>
    <w:rPr>
      <w:rFonts w:ascii="Verdana" w:eastAsia="Times New Roman" w:hAnsi="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3869">
      <w:marLeft w:val="0"/>
      <w:marRight w:val="0"/>
      <w:marTop w:val="0"/>
      <w:marBottom w:val="0"/>
      <w:divBdr>
        <w:top w:val="none" w:sz="0" w:space="0" w:color="auto"/>
        <w:left w:val="none" w:sz="0" w:space="0" w:color="auto"/>
        <w:bottom w:val="none" w:sz="0" w:space="0" w:color="auto"/>
        <w:right w:val="none" w:sz="0" w:space="0" w:color="auto"/>
      </w:divBdr>
    </w:div>
    <w:div w:id="1190143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ssr.od.nih.gov/scientific_areas/methodology/community_based_participatory_research/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chcenter.org/families/partnerships/participatory_action_research.aspx?Jscript=1&amp;JScript=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sdr.cdc.gov/communityengagement/pdf/PCE_Report_508_FINAL.pdf" TargetMode="External"/><Relationship Id="rId4" Type="http://schemas.microsoft.com/office/2007/relationships/stylesWithEffects" Target="stylesWithEffects.xml"/><Relationship Id="rId9" Type="http://schemas.openxmlformats.org/officeDocument/2006/relationships/hyperlink" Target="http://classifications.carnegiefoundation.org/descriptions/community_engagemen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5CBD-573C-455C-99A5-59301D9E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Term</vt:lpstr>
    </vt:vector>
  </TitlesOfParts>
  <Company>Microsoft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dc:title>
  <dc:subject/>
  <dc:creator>kaparmley</dc:creator>
  <cp:keywords/>
  <dc:description/>
  <cp:lastModifiedBy>Cathy A. Howard</cp:lastModifiedBy>
  <cp:revision>2</cp:revision>
  <cp:lastPrinted>2012-09-24T14:06:00Z</cp:lastPrinted>
  <dcterms:created xsi:type="dcterms:W3CDTF">2012-09-25T19:32:00Z</dcterms:created>
  <dcterms:modified xsi:type="dcterms:W3CDTF">2012-09-25T19:32:00Z</dcterms:modified>
</cp:coreProperties>
</file>